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2F5AEC9B"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B6380B">
        <w:rPr>
          <w:rFonts w:cs="Arial"/>
          <w:b/>
          <w:sz w:val="22"/>
          <w:szCs w:val="22"/>
          <w:lang w:val="en-US"/>
        </w:rPr>
        <w:t>3</w:t>
      </w:r>
      <w:r w:rsidRPr="008D1868">
        <w:rPr>
          <w:rFonts w:cs="Arial"/>
          <w:b/>
          <w:sz w:val="22"/>
          <w:szCs w:val="22"/>
          <w:lang w:val="en-US"/>
        </w:rPr>
        <w:t>-e</w:t>
      </w:r>
      <w:r w:rsidRPr="008D1868">
        <w:rPr>
          <w:rFonts w:cs="Arial"/>
          <w:b/>
          <w:i/>
          <w:sz w:val="22"/>
          <w:szCs w:val="22"/>
          <w:lang w:val="en-US"/>
        </w:rPr>
        <w:tab/>
      </w:r>
      <w:r w:rsidR="00005946" w:rsidRPr="00005946">
        <w:rPr>
          <w:rFonts w:cs="Arial"/>
          <w:b/>
          <w:i/>
          <w:sz w:val="22"/>
          <w:szCs w:val="22"/>
          <w:lang w:val="en-US" w:eastAsia="zh-CN"/>
        </w:rPr>
        <w:t>R2-2100272</w:t>
      </w:r>
    </w:p>
    <w:p w14:paraId="540B9A86" w14:textId="7B05511F"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B6380B">
        <w:rPr>
          <w:rFonts w:cs="Arial"/>
          <w:b/>
          <w:sz w:val="22"/>
          <w:szCs w:val="22"/>
          <w:lang w:val="en-US"/>
        </w:rPr>
        <w:t>January</w:t>
      </w:r>
      <w:r w:rsidRPr="008D1868">
        <w:rPr>
          <w:rFonts w:cs="Arial"/>
          <w:b/>
          <w:sz w:val="22"/>
          <w:szCs w:val="22"/>
          <w:lang w:val="en-US"/>
        </w:rPr>
        <w:t xml:space="preserve"> 202</w:t>
      </w:r>
      <w:r w:rsidR="00B6380B">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00642366" w:rsidR="00D0573B" w:rsidRDefault="00D0573B">
      <w:pPr>
        <w:pStyle w:val="3GPPHeader"/>
        <w:rPr>
          <w:sz w:val="22"/>
          <w:szCs w:val="22"/>
        </w:rPr>
      </w:pPr>
      <w:r w:rsidRPr="000575E5">
        <w:rPr>
          <w:sz w:val="22"/>
          <w:szCs w:val="22"/>
        </w:rPr>
        <w:t>Agenda Item:</w:t>
      </w:r>
      <w:r w:rsidRPr="000575E5">
        <w:rPr>
          <w:sz w:val="22"/>
          <w:szCs w:val="22"/>
        </w:rPr>
        <w:tab/>
      </w:r>
      <w:r w:rsidR="000575E5" w:rsidRPr="00267A95">
        <w:rPr>
          <w:sz w:val="22"/>
          <w:szCs w:val="22"/>
        </w:rPr>
        <w:t>8.</w:t>
      </w:r>
      <w:r w:rsidR="006E01AD" w:rsidRPr="00267A95">
        <w:rPr>
          <w:sz w:val="22"/>
          <w:szCs w:val="22"/>
        </w:rPr>
        <w:t>15</w:t>
      </w:r>
      <w:r w:rsidR="000575E5" w:rsidRPr="00267A95">
        <w:rPr>
          <w:sz w:val="22"/>
          <w:szCs w:val="22"/>
        </w:rPr>
        <w:t>.</w:t>
      </w:r>
      <w:r w:rsidR="006E01AD" w:rsidRPr="00267A95">
        <w:rPr>
          <w:sz w:val="22"/>
          <w:szCs w:val="22"/>
        </w:rPr>
        <w:t>2</w:t>
      </w:r>
      <w:r w:rsidR="00B6380B">
        <w:rPr>
          <w:sz w:val="22"/>
          <w:szCs w:val="22"/>
        </w:rPr>
        <w:t>.1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5CDDC234" w:rsidR="00D0573B" w:rsidRDefault="00D0573B">
      <w:pPr>
        <w:pStyle w:val="3GPPHeader"/>
        <w:rPr>
          <w:sz w:val="22"/>
          <w:szCs w:val="22"/>
        </w:rPr>
      </w:pPr>
      <w:r>
        <w:rPr>
          <w:sz w:val="22"/>
          <w:szCs w:val="22"/>
        </w:rPr>
        <w:t>Title:</w:t>
      </w:r>
      <w:r>
        <w:rPr>
          <w:sz w:val="22"/>
          <w:szCs w:val="22"/>
        </w:rPr>
        <w:tab/>
      </w:r>
      <w:r w:rsidR="00B6380B">
        <w:rPr>
          <w:sz w:val="22"/>
          <w:szCs w:val="22"/>
        </w:rPr>
        <w:t>Left issues</w:t>
      </w:r>
      <w:r w:rsidR="00D036C6">
        <w:rPr>
          <w:sz w:val="22"/>
          <w:szCs w:val="22"/>
        </w:rPr>
        <w:t xml:space="preserve"> </w:t>
      </w:r>
      <w:r w:rsidR="00AC69FB">
        <w:rPr>
          <w:sz w:val="22"/>
          <w:szCs w:val="22"/>
        </w:rPr>
        <w:t>on definition of SL DRX functionality</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4C4E30A4" w:rsidR="002D485A" w:rsidRDefault="00D036C6" w:rsidP="0029477E">
      <w:pPr>
        <w:pStyle w:val="ac"/>
        <w:spacing w:before="120"/>
        <w:rPr>
          <w:rFonts w:cs="Arial"/>
        </w:rPr>
      </w:pPr>
      <w:bookmarkStart w:id="5" w:name="_Ref178064866"/>
      <w:r>
        <w:rPr>
          <w:rFonts w:cs="Arial"/>
        </w:rPr>
        <w:t xml:space="preserve">This paper is to discuss the </w:t>
      </w:r>
      <w:r w:rsidR="00AC69FB">
        <w:rPr>
          <w:rFonts w:cs="Arial"/>
        </w:rPr>
        <w:t>relationship between SL-DRX and sensing operation</w:t>
      </w:r>
      <w:r w:rsidR="0029477E">
        <w:rPr>
          <w:rFonts w:cs="Arial"/>
        </w:rPr>
        <w:t>.</w:t>
      </w:r>
    </w:p>
    <w:p w14:paraId="1C7B943F" w14:textId="77777777" w:rsidR="00AC69FB" w:rsidRDefault="00AC69FB" w:rsidP="00AC69FB">
      <w:pPr>
        <w:pBdr>
          <w:top w:val="single" w:sz="4" w:space="1" w:color="auto"/>
          <w:left w:val="single" w:sz="4" w:space="4" w:color="auto"/>
          <w:bottom w:val="single" w:sz="4" w:space="1" w:color="auto"/>
          <w:right w:val="single" w:sz="4" w:space="4" w:color="auto"/>
        </w:pBdr>
        <w:rPr>
          <w:lang w:eastAsia="ko-KR"/>
        </w:rPr>
      </w:pPr>
      <w:r>
        <w:rPr>
          <w:lang w:eastAsia="ko-KR"/>
        </w:rPr>
        <w:t>R2-2009696 (Lenovo) – Proposal 2</w:t>
      </w:r>
    </w:p>
    <w:p w14:paraId="4BF2FF37" w14:textId="77777777" w:rsidR="00AC69FB" w:rsidRDefault="00AC69FB" w:rsidP="00AC69FB">
      <w:pPr>
        <w:pBdr>
          <w:top w:val="single" w:sz="4" w:space="1" w:color="auto"/>
          <w:left w:val="single" w:sz="4" w:space="4" w:color="auto"/>
          <w:bottom w:val="single" w:sz="4" w:space="1" w:color="auto"/>
          <w:right w:val="single" w:sz="4" w:space="4" w:color="auto"/>
        </w:pBdr>
        <w:rPr>
          <w:lang w:eastAsia="ko-KR"/>
        </w:rPr>
      </w:pPr>
      <w:r>
        <w:rPr>
          <w:lang w:eastAsia="ko-KR"/>
        </w:rPr>
        <w:t>Proposal 2: Kindly suggest RAN2 to discuss whether SL DRX controls PSCCH monitoring only for data reception or also for sensing, if SL DRX term is used.</w:t>
      </w:r>
    </w:p>
    <w:p w14:paraId="4435C203" w14:textId="77777777" w:rsidR="00AC69FB" w:rsidRDefault="00AC69FB" w:rsidP="00AC69FB">
      <w:pPr>
        <w:pBdr>
          <w:top w:val="single" w:sz="4" w:space="1" w:color="auto"/>
          <w:left w:val="single" w:sz="4" w:space="4" w:color="auto"/>
          <w:bottom w:val="single" w:sz="4" w:space="1" w:color="auto"/>
          <w:right w:val="single" w:sz="4" w:space="4" w:color="auto"/>
        </w:pBdr>
        <w:rPr>
          <w:lang w:eastAsia="ko-KR"/>
        </w:rPr>
      </w:pPr>
      <w:r>
        <w:rPr>
          <w:lang w:eastAsia="ko-KR"/>
        </w:rPr>
        <w:t xml:space="preserve">[OPPO, Vivo, LG, Ericsson, ZTE, CATT]: Is it good to discuss it in RAN2? Or RAN1? Sensing is TX UE </w:t>
      </w:r>
      <w:proofErr w:type="spellStart"/>
      <w:r>
        <w:rPr>
          <w:lang w:eastAsia="ko-KR"/>
        </w:rPr>
        <w:t>behavior</w:t>
      </w:r>
      <w:proofErr w:type="spellEnd"/>
      <w:r>
        <w:rPr>
          <w:lang w:eastAsia="ko-KR"/>
        </w:rPr>
        <w:t xml:space="preserve"> and DRX is RX UE </w:t>
      </w:r>
      <w:proofErr w:type="spellStart"/>
      <w:r>
        <w:rPr>
          <w:lang w:eastAsia="ko-KR"/>
        </w:rPr>
        <w:t>behavior</w:t>
      </w:r>
      <w:proofErr w:type="spellEnd"/>
      <w:r>
        <w:rPr>
          <w:lang w:eastAsia="ko-KR"/>
        </w:rPr>
        <w:t xml:space="preserve"> so it may not appropriate to discuss them together now in RAN2. We need to focus SL DRX design for SL data reception. [Apple, </w:t>
      </w:r>
      <w:proofErr w:type="spellStart"/>
      <w:r>
        <w:rPr>
          <w:lang w:eastAsia="ko-KR"/>
        </w:rPr>
        <w:t>InterDigital</w:t>
      </w:r>
      <w:proofErr w:type="spellEnd"/>
      <w:r>
        <w:rPr>
          <w:lang w:eastAsia="ko-KR"/>
        </w:rPr>
        <w:t xml:space="preserve">, Intel, MediaTek, Lenovo]: At least, it is clear SL DRX should control PSCCH monitoring for sensing also. [Fujitsu]: We can a little bit wait for RAN1 progress and come back in RAN2 once they have sufficient progress. [Qualcomm]: Sensing should not be considered in SL DRX design since it is TX UE </w:t>
      </w:r>
      <w:proofErr w:type="spellStart"/>
      <w:r>
        <w:rPr>
          <w:lang w:eastAsia="ko-KR"/>
        </w:rPr>
        <w:t>behavior</w:t>
      </w:r>
      <w:proofErr w:type="spellEnd"/>
      <w:r>
        <w:rPr>
          <w:lang w:eastAsia="ko-KR"/>
        </w:rPr>
        <w:t xml:space="preserve">. [Lenovo, ZTE]: SL is different than </w:t>
      </w:r>
      <w:proofErr w:type="spellStart"/>
      <w:r>
        <w:rPr>
          <w:lang w:eastAsia="ko-KR"/>
        </w:rPr>
        <w:t>Uu</w:t>
      </w:r>
      <w:proofErr w:type="spellEnd"/>
      <w:r>
        <w:rPr>
          <w:lang w:eastAsia="ko-KR"/>
        </w:rPr>
        <w:t>, in SL RX UE can be switched to TX UE and for TX, sensing is required, so SL DRX should control sensing in SL DRX. [</w:t>
      </w:r>
      <w:proofErr w:type="spellStart"/>
      <w:r>
        <w:rPr>
          <w:lang w:eastAsia="ko-KR"/>
        </w:rPr>
        <w:t>InterDigital</w:t>
      </w:r>
      <w:proofErr w:type="spellEnd"/>
      <w:r>
        <w:rPr>
          <w:lang w:eastAsia="ko-KR"/>
        </w:rPr>
        <w:t xml:space="preserve">, Apple]: Sensing should be considered but for how to do that, it needs some coordination between RAN1 and RAN2. [OPPO, Huawei, LG, Qualcomm, Ericsson, Fujitsu]: Consider too early to </w:t>
      </w:r>
      <w:proofErr w:type="gramStart"/>
      <w:r>
        <w:rPr>
          <w:lang w:eastAsia="ko-KR"/>
        </w:rPr>
        <w:t>make a decision</w:t>
      </w:r>
      <w:proofErr w:type="gramEnd"/>
      <w:r>
        <w:rPr>
          <w:lang w:eastAsia="ko-KR"/>
        </w:rPr>
        <w:t xml:space="preserve">. [ZTE]: Do we need to send LS to RAN1? [Huawei]: Do not see the need to send LS to RAN1. [Lenovo, MediaTek, Ericsson, Apple]: No harm to send LS to RAN1. </w:t>
      </w:r>
    </w:p>
    <w:p w14:paraId="793E3D76" w14:textId="2D517EF5" w:rsidR="00AC69FB" w:rsidRDefault="00AC69FB" w:rsidP="00AC69FB">
      <w:pPr>
        <w:pBdr>
          <w:top w:val="single" w:sz="4" w:space="1" w:color="auto"/>
          <w:left w:val="single" w:sz="4" w:space="4" w:color="auto"/>
          <w:bottom w:val="single" w:sz="4" w:space="1" w:color="auto"/>
          <w:right w:val="single" w:sz="4" w:space="4" w:color="auto"/>
        </w:pBdr>
        <w:rPr>
          <w:lang w:eastAsia="ko-KR"/>
        </w:rPr>
      </w:pPr>
      <w:r>
        <w:rPr>
          <w:lang w:eastAsia="ko-KR"/>
        </w:rPr>
        <w:t>=&gt; Working assumption: SL DRX should take PSCCH monitoring also for sensing (in addition to data reception) into account if SL DRX is used.</w:t>
      </w:r>
    </w:p>
    <w:bookmarkEnd w:id="5"/>
    <w:p w14:paraId="43DF0B80" w14:textId="36996713" w:rsidR="009C0794" w:rsidRDefault="00AC69FB" w:rsidP="00276721">
      <w:pPr>
        <w:pStyle w:val="1"/>
      </w:pPr>
      <w:r>
        <w:t>Discussion</w:t>
      </w:r>
    </w:p>
    <w:p w14:paraId="3AD36B1C" w14:textId="2F6DBAA8" w:rsidR="00904D7C" w:rsidRDefault="00904D7C" w:rsidP="00904D7C">
      <w:pPr>
        <w:pStyle w:val="2"/>
      </w:pPr>
      <w:r>
        <w:t xml:space="preserve">Definition of </w:t>
      </w:r>
      <w:r w:rsidR="00627B22">
        <w:t>DRX functionality</w:t>
      </w:r>
    </w:p>
    <w:p w14:paraId="4D0F2AFA" w14:textId="7D96FF52" w:rsidR="0067585E" w:rsidRDefault="0067585E" w:rsidP="0067585E">
      <w:r>
        <w:t xml:space="preserve">According to the discussion in RAN2#112, there are two </w:t>
      </w:r>
      <w:r w:rsidRPr="00B6380B">
        <w:rPr>
          <w:highlight w:val="yellow"/>
        </w:rPr>
        <w:t>FFS</w:t>
      </w:r>
      <w:r>
        <w:t xml:space="preserve"> points.</w:t>
      </w:r>
    </w:p>
    <w:p w14:paraId="59F0A80D" w14:textId="77777777" w:rsidR="0067585E" w:rsidRDefault="0067585E" w:rsidP="0067585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4:</w:t>
      </w:r>
      <w:r>
        <w:rPr>
          <w:noProof/>
        </w:rPr>
        <w:tab/>
        <w:t xml:space="preserve">If a UE is in SL active time, UE should monitor PSCCH. </w:t>
      </w:r>
      <w:r w:rsidRPr="00B6380B">
        <w:rPr>
          <w:noProof/>
          <w:highlight w:val="yellow"/>
        </w:rPr>
        <w:t>FFS on PSSCH. FFS for sensing impacts.</w:t>
      </w:r>
    </w:p>
    <w:p w14:paraId="1F9E9683" w14:textId="1D7FCE87" w:rsidR="00627B22" w:rsidRDefault="0067585E" w:rsidP="00627B22">
      <w:r>
        <w:t>Firstly, a</w:t>
      </w:r>
      <w:r w:rsidR="00627B22">
        <w:t xml:space="preserve">ccording to the DRX definition in </w:t>
      </w:r>
      <w:proofErr w:type="spellStart"/>
      <w:r w:rsidR="00627B22">
        <w:t>Uu</w:t>
      </w:r>
      <w:proofErr w:type="spellEnd"/>
      <w:r w:rsidR="00627B22">
        <w:t xml:space="preserve"> interface</w:t>
      </w:r>
    </w:p>
    <w:p w14:paraId="5B4DAD9F" w14:textId="211C7D82" w:rsidR="00627B22" w:rsidRPr="00627B22" w:rsidRDefault="00627B22" w:rsidP="00B6380B">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ko-KR"/>
        </w:rPr>
      </w:pPr>
      <w:r w:rsidRPr="00627B22">
        <w:rPr>
          <w:rFonts w:ascii="Times New Roman" w:eastAsia="Times New Roman" w:hAnsi="Times New Roman"/>
          <w:lang w:eastAsia="ko-KR"/>
        </w:rPr>
        <w:t xml:space="preserve">The MAC entity may be configured by RRC with a DRX functionality that </w:t>
      </w:r>
      <w:r w:rsidRPr="00B6380B">
        <w:rPr>
          <w:rFonts w:ascii="Times New Roman" w:eastAsia="Times New Roman" w:hAnsi="Times New Roman"/>
          <w:highlight w:val="green"/>
          <w:lang w:eastAsia="ko-KR"/>
        </w:rPr>
        <w:t>controls the UE's PDCCH monitoring activity for the MAC entity's C-RNTI, CI-RNTI, CS-RNTI, INT-RNTI, SFI-RNTI, SP-CSI-RNTI, TPC-PUCCH-RNTI, TPC-PUSCH-RNTI, TPC-SRS-RNTI, and AI-RNTI</w:t>
      </w:r>
      <w:r w:rsidRPr="00627B22">
        <w:rPr>
          <w:rFonts w:ascii="Times New Roman" w:eastAsia="Times New Roman" w:hAnsi="Times New Roman"/>
          <w:lang w:eastAsia="ko-KR"/>
        </w:rPr>
        <w:t>.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w:t>
      </w:r>
      <w:r w:rsidR="00D85974">
        <w:rPr>
          <w:rFonts w:ascii="Times New Roman" w:eastAsia="Times New Roman" w:hAnsi="Times New Roman"/>
          <w:lang w:eastAsia="ko-KR"/>
        </w:rPr>
        <w:t>,</w:t>
      </w:r>
      <w:r w:rsidRPr="00627B22">
        <w:rPr>
          <w:rFonts w:ascii="Times New Roman" w:eastAsia="Times New Roman" w:hAnsi="Times New Roman"/>
          <w:lang w:eastAsia="ko-KR"/>
        </w:rPr>
        <w:t xml:space="preserve"> the MAC entity shall monitor the PDCCH as specified in TS 38.213 [6].</w:t>
      </w:r>
    </w:p>
    <w:p w14:paraId="00693B16" w14:textId="45059123" w:rsidR="00307894" w:rsidRDefault="00627B22" w:rsidP="00627B22">
      <w:r>
        <w:rPr>
          <w:rFonts w:hint="eastAsia"/>
        </w:rPr>
        <w:t>W</w:t>
      </w:r>
      <w:r>
        <w:t xml:space="preserve">hen it comes to </w:t>
      </w:r>
      <w:proofErr w:type="spellStart"/>
      <w:r>
        <w:t>sidelink</w:t>
      </w:r>
      <w:proofErr w:type="spellEnd"/>
      <w:r>
        <w:t xml:space="preserve">, </w:t>
      </w:r>
      <w:r w:rsidR="0067585E">
        <w:t>c</w:t>
      </w:r>
      <w:r w:rsidR="00E35F3B">
        <w:t xml:space="preserve">onsidering the logic for DRX is to enable UE to monitor control channel, in order to check whether there is anything sent to itself or not, </w:t>
      </w:r>
      <w:r w:rsidR="00307894">
        <w:t xml:space="preserve">monitoring </w:t>
      </w:r>
      <w:r w:rsidR="00EB1112">
        <w:t>SCI</w:t>
      </w:r>
      <w:r w:rsidR="00307894">
        <w:t xml:space="preserve"> would be enough since all the necessary information can be obtained via PSCCH.</w:t>
      </w:r>
    </w:p>
    <w:p w14:paraId="56A95245" w14:textId="51168C2C" w:rsidR="00307894" w:rsidRDefault="00307894" w:rsidP="00627B22">
      <w:r>
        <w:rPr>
          <w:rFonts w:hint="eastAsia"/>
        </w:rPr>
        <w:lastRenderedPageBreak/>
        <w:t>O</w:t>
      </w:r>
      <w:r>
        <w:t>ne argument for including PSSCH monitoring into DRX is that</w:t>
      </w:r>
    </w:p>
    <w:p w14:paraId="6711CA97" w14:textId="77777777" w:rsidR="00307894" w:rsidRDefault="00307894" w:rsidP="00B6380B">
      <w:pPr>
        <w:pBdr>
          <w:top w:val="single" w:sz="4" w:space="1" w:color="auto"/>
          <w:left w:val="single" w:sz="4" w:space="4" w:color="auto"/>
          <w:bottom w:val="single" w:sz="4" w:space="1" w:color="auto"/>
          <w:right w:val="single" w:sz="4" w:space="4" w:color="auto"/>
        </w:pBdr>
        <w:spacing w:before="60"/>
        <w:rPr>
          <w:noProof/>
        </w:rPr>
      </w:pPr>
      <w:r w:rsidRPr="00B6380B">
        <w:rPr>
          <w:noProof/>
          <w:highlight w:val="green"/>
        </w:rPr>
        <w:t>[Ericsson]: Second step SCI is carried over PSSCH, so we need to add PSSCH also</w:t>
      </w:r>
      <w:r>
        <w:rPr>
          <w:noProof/>
        </w:rPr>
        <w:t>. [Apple]: In order to receive 2</w:t>
      </w:r>
      <w:r>
        <w:rPr>
          <w:noProof/>
          <w:vertAlign w:val="superscript"/>
        </w:rPr>
        <w:t>nd</w:t>
      </w:r>
      <w:r>
        <w:rPr>
          <w:noProof/>
        </w:rPr>
        <w:t xml:space="preserve"> step SCI, the UE anyway first monitor PSCCH. [OPPO]: Not sure of PSSCH at the moment, we need to further checking with RAN1. </w:t>
      </w:r>
      <w:r w:rsidRPr="00B6380B">
        <w:rPr>
          <w:noProof/>
          <w:highlight w:val="green"/>
        </w:rPr>
        <w:t>[LG]: 2</w:t>
      </w:r>
      <w:r w:rsidRPr="00B6380B">
        <w:rPr>
          <w:noProof/>
          <w:highlight w:val="green"/>
          <w:vertAlign w:val="superscript"/>
        </w:rPr>
        <w:t>nd</w:t>
      </w:r>
      <w:r w:rsidRPr="00B6380B">
        <w:rPr>
          <w:noProof/>
          <w:highlight w:val="green"/>
        </w:rPr>
        <w:t xml:space="preserve"> step SCI includes L1 id, so the UE also should monitor PSSCH.</w:t>
      </w:r>
      <w:r>
        <w:rPr>
          <w:noProof/>
        </w:rPr>
        <w:t xml:space="preserve"> </w:t>
      </w:r>
    </w:p>
    <w:p w14:paraId="1A0A48C8" w14:textId="3B7E6034" w:rsidR="00EB1112" w:rsidRDefault="00EB1112" w:rsidP="00627B22">
      <w:r>
        <w:rPr>
          <w:rFonts w:hint="eastAsia"/>
        </w:rPr>
        <w:t>S</w:t>
      </w:r>
      <w:r>
        <w:t xml:space="preserve">o we need to differentiate further between </w:t>
      </w:r>
    </w:p>
    <w:p w14:paraId="7A3D81E1" w14:textId="143147D7" w:rsidR="00EB1112" w:rsidRDefault="00EB1112" w:rsidP="00043423">
      <w:pPr>
        <w:pStyle w:val="af7"/>
        <w:numPr>
          <w:ilvl w:val="0"/>
          <w:numId w:val="17"/>
        </w:numPr>
      </w:pPr>
      <w:r>
        <w:t>2</w:t>
      </w:r>
      <w:r w:rsidRPr="00EB1112">
        <w:rPr>
          <w:vertAlign w:val="superscript"/>
        </w:rPr>
        <w:t>nd</w:t>
      </w:r>
      <w:r>
        <w:t xml:space="preserve"> stage SCI on PSSCH</w:t>
      </w:r>
    </w:p>
    <w:p w14:paraId="419DCAD0" w14:textId="663A0516" w:rsidR="00EB1112" w:rsidRDefault="00EB1112" w:rsidP="00043423">
      <w:pPr>
        <w:pStyle w:val="af7"/>
        <w:numPr>
          <w:ilvl w:val="0"/>
          <w:numId w:val="17"/>
        </w:numPr>
      </w:pPr>
      <w:r>
        <w:t>Data on PSSCH</w:t>
      </w:r>
    </w:p>
    <w:p w14:paraId="690C4A4D" w14:textId="41A1812F" w:rsidR="00307894" w:rsidRDefault="00EB1112" w:rsidP="00627B22">
      <w:r>
        <w:t>For the former one, the decoding is necessary since the L1 ID is included in 2</w:t>
      </w:r>
      <w:r w:rsidRPr="00EB1112">
        <w:rPr>
          <w:vertAlign w:val="superscript"/>
        </w:rPr>
        <w:t>nd</w:t>
      </w:r>
      <w:r>
        <w:t>-stage SCI. While for the latter one</w:t>
      </w:r>
      <w:r w:rsidR="00307894">
        <w:t xml:space="preserve">, </w:t>
      </w:r>
      <w:r w:rsidR="00EA3F08">
        <w:t xml:space="preserve">by comparing the possible resource mapping for </w:t>
      </w:r>
    </w:p>
    <w:p w14:paraId="6FF7A494" w14:textId="5548C2F4" w:rsidR="00EA3F08" w:rsidRDefault="00EA3F08" w:rsidP="00043423">
      <w:pPr>
        <w:pStyle w:val="af7"/>
        <w:numPr>
          <w:ilvl w:val="0"/>
          <w:numId w:val="16"/>
        </w:numPr>
      </w:pPr>
      <w:r>
        <w:rPr>
          <w:rFonts w:hint="eastAsia"/>
        </w:rPr>
        <w:t>D</w:t>
      </w:r>
      <w:r>
        <w:t>L, i.e., PDCCH and PDSCH</w:t>
      </w:r>
    </w:p>
    <w:p w14:paraId="636BFCFB" w14:textId="1077EB02" w:rsidR="00EA3F08" w:rsidRDefault="00EA3F08" w:rsidP="00043423">
      <w:pPr>
        <w:pStyle w:val="af7"/>
        <w:numPr>
          <w:ilvl w:val="0"/>
          <w:numId w:val="16"/>
        </w:numPr>
      </w:pPr>
      <w:r>
        <w:t>SL, i.e., PSCCH and PSSCH</w:t>
      </w:r>
    </w:p>
    <w:p w14:paraId="637F52D6" w14:textId="3D88550A" w:rsidR="00EA3F08" w:rsidRDefault="00EA3F08" w:rsidP="00EA3F08">
      <w:r>
        <w:t>There is no essential difference, i.e., in both cases, the control channel may be overlapping with data channel in time domain, and thus some pre-buffering of data channel is needed, but that does not necessarily mean the UE has to decode PSSCH even if PSCCH indicates the data is not of interest by the Rx-UE.</w:t>
      </w:r>
    </w:p>
    <w:p w14:paraId="5C76FCDB" w14:textId="4D7A5451" w:rsidR="00EA3F08" w:rsidRDefault="007F613F" w:rsidP="00B6380B">
      <w:pPr>
        <w:keepNext/>
        <w:jc w:val="center"/>
      </w:pPr>
      <w:r>
        <w:t xml:space="preserve">   </w:t>
      </w:r>
      <w:r w:rsidR="00096874">
        <w:object w:dxaOrig="10260" w:dyaOrig="2236" w14:anchorId="19AAB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8pt;height:80.4pt" o:ole="">
            <v:imagedata r:id="rId11" o:title=""/>
          </v:shape>
          <o:OLEObject Type="Embed" ProgID="Visio.Drawing.15" ShapeID="_x0000_i1025" DrawAspect="Content" ObjectID="_1671961344" r:id="rId12"/>
        </w:object>
      </w:r>
    </w:p>
    <w:p w14:paraId="32333574" w14:textId="552DAD5D" w:rsidR="00EA3F08" w:rsidRDefault="00EA3F08" w:rsidP="00B6380B">
      <w:pPr>
        <w:pStyle w:val="af5"/>
      </w:pPr>
      <w:r>
        <w:t xml:space="preserve">Figure </w:t>
      </w:r>
      <w:r>
        <w:fldChar w:fldCharType="begin"/>
      </w:r>
      <w:r>
        <w:instrText xml:space="preserve"> SEQ Figure \* ARABIC </w:instrText>
      </w:r>
      <w:r>
        <w:fldChar w:fldCharType="separate"/>
      </w:r>
      <w:r w:rsidR="00EA0D3E">
        <w:rPr>
          <w:noProof/>
        </w:rPr>
        <w:t>2</w:t>
      </w:r>
      <w:r>
        <w:fldChar w:fldCharType="end"/>
      </w:r>
      <w:r>
        <w:t xml:space="preserve"> Resource mapping of control/data channel for DL</w:t>
      </w:r>
      <w:r w:rsidR="007F613F">
        <w:t xml:space="preserve"> (Example-1: left, Example-2: right)</w:t>
      </w:r>
    </w:p>
    <w:p w14:paraId="7F832708" w14:textId="3307BE94" w:rsidR="00EA0D3E" w:rsidRDefault="00096874" w:rsidP="00B6380B">
      <w:pPr>
        <w:keepNext/>
        <w:jc w:val="center"/>
      </w:pPr>
      <w:r>
        <w:t xml:space="preserve">   </w:t>
      </w:r>
      <w:r>
        <w:object w:dxaOrig="10035" w:dyaOrig="2221" w14:anchorId="5B39E3C6">
          <v:shape id="_x0000_i1026" type="#_x0000_t75" style="width:375.9pt;height:81.7pt" o:ole="">
            <v:imagedata r:id="rId13" o:title=""/>
          </v:shape>
          <o:OLEObject Type="Embed" ProgID="Visio.Drawing.15" ShapeID="_x0000_i1026" DrawAspect="Content" ObjectID="_1671961345" r:id="rId14"/>
        </w:object>
      </w:r>
    </w:p>
    <w:p w14:paraId="5F20B206" w14:textId="5FB420A1" w:rsidR="00EA0D3E" w:rsidRPr="00C42D40" w:rsidRDefault="00EA0D3E" w:rsidP="00B6380B">
      <w:pPr>
        <w:pStyle w:val="af5"/>
      </w:pPr>
      <w:r>
        <w:t xml:space="preserve">Figure </w:t>
      </w:r>
      <w:r>
        <w:fldChar w:fldCharType="begin"/>
      </w:r>
      <w:r>
        <w:instrText xml:space="preserve"> SEQ Figure \* ARABIC </w:instrText>
      </w:r>
      <w:r>
        <w:fldChar w:fldCharType="separate"/>
      </w:r>
      <w:r>
        <w:rPr>
          <w:noProof/>
        </w:rPr>
        <w:t>3</w:t>
      </w:r>
      <w:r>
        <w:fldChar w:fldCharType="end"/>
      </w:r>
      <w:r>
        <w:t xml:space="preserve"> Resource mapping of control/data channel for SL (Example-1: left, Example-2: right)</w:t>
      </w:r>
    </w:p>
    <w:p w14:paraId="04C3C809" w14:textId="35052300" w:rsidR="00EA3F08" w:rsidRPr="00C42D40" w:rsidRDefault="00EA0D3E" w:rsidP="00B6380B">
      <w:pPr>
        <w:pStyle w:val="Observation"/>
        <w:tabs>
          <w:tab w:val="clear" w:pos="1304"/>
        </w:tabs>
        <w:ind w:left="1701" w:hanging="1701"/>
      </w:pPr>
      <w:bookmarkStart w:id="6" w:name="_Toc61348593"/>
      <w:r>
        <w:rPr>
          <w:rFonts w:hint="eastAsia"/>
        </w:rPr>
        <w:t>U</w:t>
      </w:r>
      <w:r>
        <w:t xml:space="preserve">E may need to pre-buffer the </w:t>
      </w:r>
      <w:r w:rsidR="00EB1112">
        <w:t xml:space="preserve">data on </w:t>
      </w:r>
      <w:r>
        <w:t xml:space="preserve">PSSCH (similar to PDSCH), but that does not mean the DRX functionality has to include PSSCH </w:t>
      </w:r>
      <w:r w:rsidR="00EB1112">
        <w:t xml:space="preserve">data </w:t>
      </w:r>
      <w:r>
        <w:t xml:space="preserve">decoding (similarly, DL DRX does not include PDSCH </w:t>
      </w:r>
      <w:r w:rsidR="00D85974">
        <w:t xml:space="preserve">data </w:t>
      </w:r>
      <w:r>
        <w:t>decoding either).</w:t>
      </w:r>
      <w:bookmarkEnd w:id="6"/>
    </w:p>
    <w:p w14:paraId="1D34B398" w14:textId="64CC60EA" w:rsidR="00307894" w:rsidRDefault="00EA0D3E" w:rsidP="00B6380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61348595"/>
      <w:r>
        <w:rPr>
          <w:rFonts w:hint="eastAsia"/>
        </w:rPr>
        <w:t>S</w:t>
      </w:r>
      <w:r>
        <w:t xml:space="preserve">L DRX functionality </w:t>
      </w:r>
      <w:r w:rsidR="00EB1112">
        <w:t xml:space="preserve">only include decoding of PSCCH (1st-stage SCI) and 2nd-stage SCI, i.e., no decoding for data on </w:t>
      </w:r>
      <w:r w:rsidR="00EB1112">
        <w:rPr>
          <w:rFonts w:hint="eastAsia"/>
        </w:rPr>
        <w:t>PSSCH</w:t>
      </w:r>
      <w:r>
        <w:t>.</w:t>
      </w:r>
      <w:bookmarkEnd w:id="7"/>
    </w:p>
    <w:p w14:paraId="62ADF9B9" w14:textId="0EE646A3" w:rsidR="00AC69FB" w:rsidRDefault="00AC69FB" w:rsidP="00AC69FB">
      <w:pPr>
        <w:pStyle w:val="2"/>
      </w:pPr>
      <w:r>
        <w:rPr>
          <w:rFonts w:hint="eastAsia"/>
        </w:rPr>
        <w:t>D</w:t>
      </w:r>
      <w:r>
        <w:t>RX vs. Sensing</w:t>
      </w:r>
    </w:p>
    <w:p w14:paraId="1926333B" w14:textId="427020FA" w:rsidR="007F613F" w:rsidRDefault="007F613F" w:rsidP="00627B22">
      <w:r>
        <w:rPr>
          <w:rFonts w:hint="eastAsia"/>
        </w:rPr>
        <w:t>T</w:t>
      </w:r>
      <w:r>
        <w:t>hen for the other FFS point, i.e., whether to limit sensing operation by DRX functionality</w:t>
      </w:r>
    </w:p>
    <w:p w14:paraId="4FC14E00" w14:textId="2E491FA4" w:rsidR="007F613F" w:rsidRDefault="007F613F" w:rsidP="00627B22">
      <w:r>
        <w:rPr>
          <w:rFonts w:hint="eastAsia"/>
        </w:rPr>
        <w:t>O</w:t>
      </w:r>
      <w:r>
        <w:t>n the one hand</w:t>
      </w:r>
      <w:r w:rsidR="0013507A">
        <w:t>, RAN2 reached the following WA, notifying RAN1 using LS</w:t>
      </w:r>
    </w:p>
    <w:p w14:paraId="1C61BCD9" w14:textId="77777777" w:rsidR="007F613F" w:rsidRDefault="007F613F" w:rsidP="00B6380B">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7:</w:t>
      </w:r>
      <w:r>
        <w:rPr>
          <w:noProof/>
        </w:rPr>
        <w:tab/>
        <w:t>Working assumption: SL DRX should take PSCCH monitoring also for sensing (in addition to data reception) into account if SL DRX is used.</w:t>
      </w:r>
    </w:p>
    <w:p w14:paraId="24DC692B" w14:textId="76B6604E" w:rsidR="007F613F" w:rsidRDefault="0013507A" w:rsidP="00627B22">
      <w:r>
        <w:rPr>
          <w:rFonts w:hint="eastAsia"/>
        </w:rPr>
        <w:t>O</w:t>
      </w:r>
      <w:r>
        <w:t>n the other hand, the WID has been updated to reflect that aspect</w:t>
      </w:r>
    </w:p>
    <w:p w14:paraId="7C6537D4" w14:textId="77777777" w:rsidR="0013507A" w:rsidRDefault="0013507A" w:rsidP="00043423">
      <w:pPr>
        <w:numPr>
          <w:ilvl w:val="0"/>
          <w:numId w:val="15"/>
        </w:numPr>
        <w:pBdr>
          <w:top w:val="single" w:sz="4" w:space="1" w:color="auto"/>
          <w:left w:val="single" w:sz="4" w:space="4" w:color="auto"/>
          <w:bottom w:val="single" w:sz="4" w:space="1" w:color="auto"/>
          <w:right w:val="single" w:sz="4" w:space="4" w:color="auto"/>
        </w:pBdr>
        <w:spacing w:after="180"/>
        <w:ind w:left="403" w:hanging="403"/>
        <w:jc w:val="left"/>
        <w:rPr>
          <w:lang w:eastAsia="ko-KR"/>
        </w:rPr>
      </w:pPr>
      <w:r>
        <w:rPr>
          <w:lang w:eastAsia="ko-KR"/>
        </w:rPr>
        <w:t>Specify resource allocation to reduce power consumption of the UEs [RAN1, RAN2]</w:t>
      </w:r>
    </w:p>
    <w:p w14:paraId="521BCDEE" w14:textId="77777777" w:rsidR="0013507A" w:rsidRDefault="0013507A" w:rsidP="00043423">
      <w:pPr>
        <w:numPr>
          <w:ilvl w:val="1"/>
          <w:numId w:val="15"/>
        </w:numPr>
        <w:pBdr>
          <w:top w:val="single" w:sz="4" w:space="1" w:color="auto"/>
          <w:left w:val="single" w:sz="4" w:space="4" w:color="auto"/>
          <w:bottom w:val="single" w:sz="4" w:space="1" w:color="auto"/>
          <w:right w:val="single" w:sz="4" w:space="4" w:color="auto"/>
        </w:pBdr>
        <w:spacing w:after="180"/>
        <w:ind w:left="403" w:hanging="403"/>
        <w:jc w:val="left"/>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0FB7FE81" w14:textId="77777777" w:rsidR="0013507A" w:rsidRDefault="0013507A" w:rsidP="00043423">
      <w:pPr>
        <w:numPr>
          <w:ilvl w:val="1"/>
          <w:numId w:val="15"/>
        </w:numPr>
        <w:pBdr>
          <w:top w:val="single" w:sz="4" w:space="1" w:color="auto"/>
          <w:left w:val="single" w:sz="4" w:space="4" w:color="auto"/>
          <w:bottom w:val="single" w:sz="4" w:space="1" w:color="auto"/>
          <w:right w:val="single" w:sz="4" w:space="4" w:color="auto"/>
        </w:pBdr>
        <w:spacing w:after="180"/>
        <w:ind w:left="403" w:hanging="403"/>
        <w:jc w:val="left"/>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0AB4294" w14:textId="77777777" w:rsidR="0013507A" w:rsidRPr="00B6380B" w:rsidRDefault="0013507A" w:rsidP="00043423">
      <w:pPr>
        <w:numPr>
          <w:ilvl w:val="1"/>
          <w:numId w:val="15"/>
        </w:numPr>
        <w:pBdr>
          <w:top w:val="single" w:sz="4" w:space="1" w:color="auto"/>
          <w:left w:val="single" w:sz="4" w:space="4" w:color="auto"/>
          <w:bottom w:val="single" w:sz="4" w:space="1" w:color="auto"/>
          <w:right w:val="single" w:sz="4" w:space="4" w:color="auto"/>
        </w:pBdr>
        <w:spacing w:after="180"/>
        <w:ind w:left="403" w:hanging="403"/>
        <w:jc w:val="left"/>
        <w:rPr>
          <w:highlight w:val="green"/>
          <w:lang w:eastAsia="ko-KR"/>
        </w:rPr>
      </w:pPr>
      <w:r w:rsidRPr="00B6380B">
        <w:rPr>
          <w:highlight w:val="green"/>
          <w:lang w:eastAsia="ko-KR"/>
        </w:rPr>
        <w:lastRenderedPageBreak/>
        <w:t xml:space="preserve">This work should consider the impact of </w:t>
      </w:r>
      <w:proofErr w:type="spellStart"/>
      <w:r w:rsidRPr="00B6380B">
        <w:rPr>
          <w:highlight w:val="green"/>
          <w:lang w:eastAsia="ko-KR"/>
        </w:rPr>
        <w:t>sidelink</w:t>
      </w:r>
      <w:proofErr w:type="spellEnd"/>
      <w:r w:rsidRPr="00B6380B">
        <w:rPr>
          <w:highlight w:val="green"/>
          <w:lang w:eastAsia="ko-KR"/>
        </w:rPr>
        <w:t xml:space="preserve"> DRX, if any.</w:t>
      </w:r>
    </w:p>
    <w:p w14:paraId="4D999A94" w14:textId="0BFF206B" w:rsidR="0013507A" w:rsidRDefault="0013507A" w:rsidP="00627B22">
      <w:r>
        <w:t>Considering now the decision is up to RAN1, RAN2 does not need to further work on this aspect.</w:t>
      </w:r>
    </w:p>
    <w:p w14:paraId="162B0160" w14:textId="5F82CB5A" w:rsidR="0013507A" w:rsidRDefault="0013507A" w:rsidP="00B6380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61348596"/>
      <w:r>
        <w:t xml:space="preserve">No need for RAN2 to confirm/revert the WA of “SL DRX should take PSCCH monitoring also for sensing (in addition to data reception) into account if SL DRX is used”, </w:t>
      </w:r>
      <w:r w:rsidR="00EB1112">
        <w:t>i.e.,</w:t>
      </w:r>
      <w:r>
        <w:t xml:space="preserve"> </w:t>
      </w:r>
      <w:r w:rsidR="00AC69FB">
        <w:t xml:space="preserve">RAN2 </w:t>
      </w:r>
      <w:r>
        <w:t xml:space="preserve">rely on RAN1 for final </w:t>
      </w:r>
      <w:r w:rsidR="00EB1112">
        <w:t xml:space="preserve">design of </w:t>
      </w:r>
      <w:r>
        <w:t>sensing operation.</w:t>
      </w:r>
      <w:bookmarkEnd w:id="8"/>
    </w:p>
    <w:p w14:paraId="121B23D8" w14:textId="77777777" w:rsidR="00D0573B" w:rsidRDefault="00D0573B">
      <w:pPr>
        <w:pStyle w:val="1"/>
      </w:pPr>
      <w:r>
        <w:t>Conclusion</w:t>
      </w:r>
    </w:p>
    <w:p w14:paraId="2FFF14A7" w14:textId="5748E441" w:rsidR="003F49A2" w:rsidRDefault="003F49A2">
      <w:r>
        <w:t>We have the following observations:</w:t>
      </w:r>
    </w:p>
    <w:p w14:paraId="35D090CA" w14:textId="0A485C72" w:rsidR="00D85974" w:rsidRDefault="003F49A2">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61348593" w:history="1">
        <w:r w:rsidR="00D85974" w:rsidRPr="002F2733">
          <w:rPr>
            <w:rStyle w:val="a5"/>
            <w:noProof/>
          </w:rPr>
          <w:t>Observation 1</w:t>
        </w:r>
        <w:r w:rsidR="00D85974">
          <w:rPr>
            <w:rFonts w:asciiTheme="minorHAnsi" w:eastAsiaTheme="minorEastAsia" w:hAnsiTheme="minorHAnsi" w:cstheme="minorBidi"/>
            <w:b w:val="0"/>
            <w:noProof/>
            <w:kern w:val="2"/>
            <w:sz w:val="21"/>
          </w:rPr>
          <w:tab/>
        </w:r>
        <w:r w:rsidR="00D85974" w:rsidRPr="002F2733">
          <w:rPr>
            <w:rStyle w:val="a5"/>
            <w:noProof/>
          </w:rPr>
          <w:t>UE may need to pre-buffer the data on PSSCH (similar to PDSCH), but that does not mean the DRX functionality has to include PSSCH data decoding (similarly, DL DRX does not include PDSCH data decoding either).</w:t>
        </w:r>
      </w:hyperlink>
    </w:p>
    <w:p w14:paraId="1E1D37A2" w14:textId="40206507" w:rsidR="003F49A2" w:rsidRPr="003F49A2" w:rsidRDefault="003F49A2">
      <w:r>
        <w:fldChar w:fldCharType="end"/>
      </w:r>
    </w:p>
    <w:p w14:paraId="363AC2BA" w14:textId="4C4C8E62" w:rsidR="00D0573B" w:rsidRDefault="00D0573B">
      <w:r>
        <w:t>We have the following proposals:</w:t>
      </w:r>
    </w:p>
    <w:bookmarkStart w:id="9" w:name="_GoBack"/>
    <w:bookmarkEnd w:id="9"/>
    <w:p w14:paraId="1FD82452" w14:textId="6ADCD3EB" w:rsidR="00D85974"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61348595" w:history="1">
        <w:r w:rsidR="00D85974" w:rsidRPr="001856F8">
          <w:rPr>
            <w:rStyle w:val="a5"/>
            <w:noProof/>
          </w:rPr>
          <w:t>Proposal 1</w:t>
        </w:r>
        <w:r w:rsidR="00D85974">
          <w:rPr>
            <w:rFonts w:asciiTheme="minorHAnsi" w:eastAsiaTheme="minorEastAsia" w:hAnsiTheme="minorHAnsi" w:cstheme="minorBidi"/>
            <w:b w:val="0"/>
            <w:noProof/>
            <w:kern w:val="2"/>
            <w:sz w:val="21"/>
          </w:rPr>
          <w:tab/>
        </w:r>
        <w:r w:rsidR="00D85974" w:rsidRPr="001856F8">
          <w:rPr>
            <w:rStyle w:val="a5"/>
            <w:noProof/>
          </w:rPr>
          <w:t>SL DRX functionality only include decoding of PSCCH (1st-stage SCI) and 2nd-stage SCI, i.e., no decoding for data on PSSCH.</w:t>
        </w:r>
      </w:hyperlink>
    </w:p>
    <w:p w14:paraId="41F610D1" w14:textId="7DE5B725" w:rsidR="00D85974" w:rsidRDefault="00D85974">
      <w:pPr>
        <w:pStyle w:val="TOC1"/>
        <w:rPr>
          <w:rFonts w:asciiTheme="minorHAnsi" w:eastAsiaTheme="minorEastAsia" w:hAnsiTheme="minorHAnsi" w:cstheme="minorBidi"/>
          <w:b w:val="0"/>
          <w:noProof/>
          <w:kern w:val="2"/>
          <w:sz w:val="21"/>
        </w:rPr>
      </w:pPr>
      <w:hyperlink w:anchor="_Toc61348596" w:history="1">
        <w:r w:rsidRPr="001856F8">
          <w:rPr>
            <w:rStyle w:val="a5"/>
            <w:noProof/>
          </w:rPr>
          <w:t>Proposal 2</w:t>
        </w:r>
        <w:r>
          <w:rPr>
            <w:rFonts w:asciiTheme="minorHAnsi" w:eastAsiaTheme="minorEastAsia" w:hAnsiTheme="minorHAnsi" w:cstheme="minorBidi"/>
            <w:b w:val="0"/>
            <w:noProof/>
            <w:kern w:val="2"/>
            <w:sz w:val="21"/>
          </w:rPr>
          <w:tab/>
        </w:r>
        <w:r w:rsidRPr="001856F8">
          <w:rPr>
            <w:rStyle w:val="a5"/>
            <w:noProof/>
          </w:rPr>
          <w:t>No need for RAN2 to confirm/revert the WA of “SL DRX should take PSCCH monitoring also for sensing (in addition to data reception) into account if SL DRX is used”, i.e., RAN2 rely on RAN1 for final design of sensing operation.</w:t>
        </w:r>
      </w:hyperlink>
    </w:p>
    <w:p w14:paraId="3BAB227A" w14:textId="3EF388E9"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10" w:name="_In-sequence_SDU_delivery"/>
      <w:bookmarkStart w:id="11" w:name="_Ref189809556"/>
      <w:bookmarkStart w:id="12" w:name="_Ref174151459"/>
      <w:bookmarkStart w:id="13" w:name="_Ref450865335"/>
      <w:bookmarkEnd w:id="10"/>
      <w:r>
        <w:rPr>
          <w:rFonts w:hint="eastAsia"/>
        </w:rPr>
        <w:t>Reference</w:t>
      </w:r>
      <w:bookmarkEnd w:id="11"/>
      <w:bookmarkEnd w:id="12"/>
      <w:bookmarkEnd w:id="13"/>
    </w:p>
    <w:p w14:paraId="1D07AD88" w14:textId="30555E10" w:rsidR="00D0573B" w:rsidRDefault="004333BF" w:rsidP="001F6031">
      <w:pPr>
        <w:numPr>
          <w:ilvl w:val="0"/>
          <w:numId w:val="12"/>
        </w:numPr>
        <w:rPr>
          <w:lang w:val="en-US"/>
        </w:rPr>
      </w:pPr>
      <w:bookmarkStart w:id="14" w:name="_Ref32829969"/>
      <w:r w:rsidRPr="004333BF">
        <w:rPr>
          <w:lang w:val="en-US"/>
        </w:rPr>
        <w:t>3GPP RP-</w:t>
      </w:r>
      <w:r w:rsidR="006E01AD">
        <w:rPr>
          <w:lang w:val="en-US"/>
        </w:rPr>
        <w:t>201516</w:t>
      </w:r>
      <w:r w:rsidRPr="004333BF">
        <w:rPr>
          <w:lang w:val="en-US"/>
        </w:rPr>
        <w:t xml:space="preserve"> "</w:t>
      </w:r>
      <w:r w:rsidR="006E01AD" w:rsidRPr="006E01AD">
        <w:t xml:space="preserve"> </w:t>
      </w:r>
      <w:r w:rsidR="006E01AD" w:rsidRPr="006E01AD">
        <w:rPr>
          <w:lang w:val="en-US"/>
        </w:rPr>
        <w:t xml:space="preserve">WID revision: NR sidelink enhancement </w:t>
      </w:r>
      <w:r w:rsidRPr="004333BF">
        <w:rPr>
          <w:lang w:val="en-US"/>
        </w:rPr>
        <w:t>".</w:t>
      </w:r>
      <w:bookmarkEnd w:id="14"/>
    </w:p>
    <w:sectPr w:rsidR="00D0573B">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02DB6" w14:textId="77777777" w:rsidR="00F574DC" w:rsidRDefault="00F574DC">
      <w:pPr>
        <w:spacing w:after="0"/>
      </w:pPr>
      <w:r>
        <w:separator/>
      </w:r>
    </w:p>
  </w:endnote>
  <w:endnote w:type="continuationSeparator" w:id="0">
    <w:p w14:paraId="7F8D8611" w14:textId="77777777" w:rsidR="00F574DC" w:rsidRDefault="00F574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3F7E13" w:rsidRDefault="003F7E13">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F4116" w14:textId="77777777" w:rsidR="00F574DC" w:rsidRDefault="00F574DC">
      <w:pPr>
        <w:spacing w:after="0"/>
      </w:pPr>
      <w:r>
        <w:separator/>
      </w:r>
    </w:p>
  </w:footnote>
  <w:footnote w:type="continuationSeparator" w:id="0">
    <w:p w14:paraId="2EA5B9A3" w14:textId="77777777" w:rsidR="00F574DC" w:rsidRDefault="00F574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C7512F"/>
    <w:multiLevelType w:val="hybridMultilevel"/>
    <w:tmpl w:val="7B7A7668"/>
    <w:lvl w:ilvl="0" w:tplc="1822463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F428B4"/>
    <w:multiLevelType w:val="hybridMultilevel"/>
    <w:tmpl w:val="AF607B60"/>
    <w:lvl w:ilvl="0" w:tplc="CC7AF87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4"/>
  </w:num>
  <w:num w:numId="4">
    <w:abstractNumId w:val="7"/>
  </w:num>
  <w:num w:numId="5">
    <w:abstractNumId w:val="3"/>
  </w:num>
  <w:num w:numId="6">
    <w:abstractNumId w:val="6"/>
  </w:num>
  <w:num w:numId="7">
    <w:abstractNumId w:val="5"/>
  </w:num>
  <w:num w:numId="8">
    <w:abstractNumId w:val="9"/>
  </w:num>
  <w:num w:numId="9">
    <w:abstractNumId w:val="16"/>
  </w:num>
  <w:num w:numId="10">
    <w:abstractNumId w:val="10"/>
  </w:num>
  <w:num w:numId="11">
    <w:abstractNumId w:val="15"/>
  </w:num>
  <w:num w:numId="12">
    <w:abstractNumId w:val="8"/>
  </w:num>
  <w:num w:numId="13">
    <w:abstractNumId w:val="12"/>
  </w:num>
  <w:num w:numId="14">
    <w:abstractNumId w:val="13"/>
  </w:num>
  <w:num w:numId="15">
    <w:abstractNumId w:val="14"/>
  </w:num>
  <w:num w:numId="16">
    <w:abstractNumId w:val="1"/>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tqgFAKdeHeEtAAAA"/>
  </w:docVars>
  <w:rsids>
    <w:rsidRoot w:val="002804D3"/>
    <w:rsid w:val="000006E1"/>
    <w:rsid w:val="00000EBA"/>
    <w:rsid w:val="000013AA"/>
    <w:rsid w:val="00001757"/>
    <w:rsid w:val="00001D15"/>
    <w:rsid w:val="00001EE9"/>
    <w:rsid w:val="00002230"/>
    <w:rsid w:val="00002A37"/>
    <w:rsid w:val="00002F51"/>
    <w:rsid w:val="000046E3"/>
    <w:rsid w:val="00004B2A"/>
    <w:rsid w:val="00005946"/>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148"/>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423"/>
    <w:rsid w:val="00043A3D"/>
    <w:rsid w:val="0004413E"/>
    <w:rsid w:val="000444EF"/>
    <w:rsid w:val="00045A25"/>
    <w:rsid w:val="000460BB"/>
    <w:rsid w:val="00046743"/>
    <w:rsid w:val="00050F9B"/>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4B6A"/>
    <w:rsid w:val="0007620B"/>
    <w:rsid w:val="00077E5F"/>
    <w:rsid w:val="0008036A"/>
    <w:rsid w:val="00080640"/>
    <w:rsid w:val="00080B1B"/>
    <w:rsid w:val="000811F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874"/>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BB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61B"/>
    <w:rsid w:val="0013285C"/>
    <w:rsid w:val="001329E8"/>
    <w:rsid w:val="00132FD0"/>
    <w:rsid w:val="00133D6B"/>
    <w:rsid w:val="001344C0"/>
    <w:rsid w:val="001346FA"/>
    <w:rsid w:val="0013507A"/>
    <w:rsid w:val="00135252"/>
    <w:rsid w:val="00135EB7"/>
    <w:rsid w:val="001369A4"/>
    <w:rsid w:val="00136B2C"/>
    <w:rsid w:val="00137AB5"/>
    <w:rsid w:val="00137CDC"/>
    <w:rsid w:val="00137F0B"/>
    <w:rsid w:val="001400FF"/>
    <w:rsid w:val="00141A2F"/>
    <w:rsid w:val="00142228"/>
    <w:rsid w:val="001432E4"/>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041"/>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2A9"/>
    <w:rsid w:val="001B3887"/>
    <w:rsid w:val="001B42D4"/>
    <w:rsid w:val="001B4EA3"/>
    <w:rsid w:val="001B4F39"/>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5FD3"/>
    <w:rsid w:val="001E7AED"/>
    <w:rsid w:val="001F0CCF"/>
    <w:rsid w:val="001F3916"/>
    <w:rsid w:val="001F3DC2"/>
    <w:rsid w:val="001F46B1"/>
    <w:rsid w:val="001F54C5"/>
    <w:rsid w:val="001F5700"/>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430C"/>
    <w:rsid w:val="00255610"/>
    <w:rsid w:val="002557D3"/>
    <w:rsid w:val="00255CF8"/>
    <w:rsid w:val="00256137"/>
    <w:rsid w:val="00256352"/>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3"/>
    <w:rsid w:val="002B333E"/>
    <w:rsid w:val="002B365F"/>
    <w:rsid w:val="002B3E70"/>
    <w:rsid w:val="002B3EA2"/>
    <w:rsid w:val="002B3F79"/>
    <w:rsid w:val="002B4251"/>
    <w:rsid w:val="002B735F"/>
    <w:rsid w:val="002B7A2E"/>
    <w:rsid w:val="002B7E4C"/>
    <w:rsid w:val="002C0D71"/>
    <w:rsid w:val="002C0F8B"/>
    <w:rsid w:val="002C3A31"/>
    <w:rsid w:val="002C3EFB"/>
    <w:rsid w:val="002C41E6"/>
    <w:rsid w:val="002C4D50"/>
    <w:rsid w:val="002C61DF"/>
    <w:rsid w:val="002C62E1"/>
    <w:rsid w:val="002C7540"/>
    <w:rsid w:val="002D071A"/>
    <w:rsid w:val="002D0994"/>
    <w:rsid w:val="002D269B"/>
    <w:rsid w:val="002D34B2"/>
    <w:rsid w:val="002D36C3"/>
    <w:rsid w:val="002D3825"/>
    <w:rsid w:val="002D410F"/>
    <w:rsid w:val="002D440F"/>
    <w:rsid w:val="002D485A"/>
    <w:rsid w:val="002D5BE9"/>
    <w:rsid w:val="002D6C66"/>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894"/>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6BBC"/>
    <w:rsid w:val="00327580"/>
    <w:rsid w:val="00327B06"/>
    <w:rsid w:val="003305AD"/>
    <w:rsid w:val="00330A25"/>
    <w:rsid w:val="00330B27"/>
    <w:rsid w:val="003314FC"/>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064"/>
    <w:rsid w:val="003421F7"/>
    <w:rsid w:val="00342A10"/>
    <w:rsid w:val="00342BD7"/>
    <w:rsid w:val="003458E7"/>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8F6"/>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E05"/>
    <w:rsid w:val="003C439E"/>
    <w:rsid w:val="003C50C7"/>
    <w:rsid w:val="003C7806"/>
    <w:rsid w:val="003D0A19"/>
    <w:rsid w:val="003D0E82"/>
    <w:rsid w:val="003D109F"/>
    <w:rsid w:val="003D2478"/>
    <w:rsid w:val="003D3C45"/>
    <w:rsid w:val="003D42C3"/>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E13"/>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2BD"/>
    <w:rsid w:val="004A3D72"/>
    <w:rsid w:val="004A64FA"/>
    <w:rsid w:val="004B09A0"/>
    <w:rsid w:val="004B1FA5"/>
    <w:rsid w:val="004B254E"/>
    <w:rsid w:val="004B2B6D"/>
    <w:rsid w:val="004B2CA9"/>
    <w:rsid w:val="004B32A3"/>
    <w:rsid w:val="004B5C2F"/>
    <w:rsid w:val="004B72FC"/>
    <w:rsid w:val="004B7C0C"/>
    <w:rsid w:val="004C005B"/>
    <w:rsid w:val="004C089A"/>
    <w:rsid w:val="004C1FD8"/>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3908"/>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F87"/>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F14"/>
    <w:rsid w:val="00605419"/>
    <w:rsid w:val="00606A65"/>
    <w:rsid w:val="00607FC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B22"/>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BF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85E"/>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AF4"/>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59A1"/>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C79D7"/>
    <w:rsid w:val="006D04D1"/>
    <w:rsid w:val="006D47BE"/>
    <w:rsid w:val="006D4C6B"/>
    <w:rsid w:val="006D504F"/>
    <w:rsid w:val="006D5DC1"/>
    <w:rsid w:val="006D65C2"/>
    <w:rsid w:val="006D6F08"/>
    <w:rsid w:val="006D77D9"/>
    <w:rsid w:val="006E01AD"/>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671F"/>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613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A61"/>
    <w:rsid w:val="00856F80"/>
    <w:rsid w:val="008571C1"/>
    <w:rsid w:val="00857F50"/>
    <w:rsid w:val="008617AC"/>
    <w:rsid w:val="0086247C"/>
    <w:rsid w:val="0086318D"/>
    <w:rsid w:val="00863BC8"/>
    <w:rsid w:val="00865BAC"/>
    <w:rsid w:val="00865C41"/>
    <w:rsid w:val="008677FD"/>
    <w:rsid w:val="008678F2"/>
    <w:rsid w:val="008706D4"/>
    <w:rsid w:val="00870B11"/>
    <w:rsid w:val="00870F8A"/>
    <w:rsid w:val="00871504"/>
    <w:rsid w:val="008719A4"/>
    <w:rsid w:val="00871D23"/>
    <w:rsid w:val="0087245A"/>
    <w:rsid w:val="00872D61"/>
    <w:rsid w:val="00873FCE"/>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2D4B"/>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5F33"/>
    <w:rsid w:val="008F6029"/>
    <w:rsid w:val="008F662F"/>
    <w:rsid w:val="009000FD"/>
    <w:rsid w:val="00902327"/>
    <w:rsid w:val="00902350"/>
    <w:rsid w:val="009032D3"/>
    <w:rsid w:val="0090336B"/>
    <w:rsid w:val="00904D7C"/>
    <w:rsid w:val="009053AA"/>
    <w:rsid w:val="009067C8"/>
    <w:rsid w:val="00906939"/>
    <w:rsid w:val="00910A74"/>
    <w:rsid w:val="00910B7D"/>
    <w:rsid w:val="00911DFB"/>
    <w:rsid w:val="00913063"/>
    <w:rsid w:val="0091311E"/>
    <w:rsid w:val="009139D9"/>
    <w:rsid w:val="00914AD8"/>
    <w:rsid w:val="00916079"/>
    <w:rsid w:val="00917CE9"/>
    <w:rsid w:val="00920BF2"/>
    <w:rsid w:val="00920DCC"/>
    <w:rsid w:val="009210EF"/>
    <w:rsid w:val="00921D86"/>
    <w:rsid w:val="00922010"/>
    <w:rsid w:val="00923EF6"/>
    <w:rsid w:val="0092620A"/>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7B4B"/>
    <w:rsid w:val="00987C96"/>
    <w:rsid w:val="00990630"/>
    <w:rsid w:val="0099098A"/>
    <w:rsid w:val="00990B76"/>
    <w:rsid w:val="00990DCB"/>
    <w:rsid w:val="00991761"/>
    <w:rsid w:val="00991887"/>
    <w:rsid w:val="009921D3"/>
    <w:rsid w:val="00993193"/>
    <w:rsid w:val="00994333"/>
    <w:rsid w:val="00994B72"/>
    <w:rsid w:val="00994DCA"/>
    <w:rsid w:val="009950C0"/>
    <w:rsid w:val="009952B4"/>
    <w:rsid w:val="00995978"/>
    <w:rsid w:val="00996021"/>
    <w:rsid w:val="009960EC"/>
    <w:rsid w:val="009970DD"/>
    <w:rsid w:val="009A01C3"/>
    <w:rsid w:val="009A0E89"/>
    <w:rsid w:val="009A0FBA"/>
    <w:rsid w:val="009A11A5"/>
    <w:rsid w:val="009A1601"/>
    <w:rsid w:val="009A1AEE"/>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0794"/>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C96"/>
    <w:rsid w:val="00A563A0"/>
    <w:rsid w:val="00A568DF"/>
    <w:rsid w:val="00A56CCB"/>
    <w:rsid w:val="00A57F52"/>
    <w:rsid w:val="00A61499"/>
    <w:rsid w:val="00A62867"/>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7D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64A"/>
    <w:rsid w:val="00AA3B59"/>
    <w:rsid w:val="00AA3DE4"/>
    <w:rsid w:val="00AA41DC"/>
    <w:rsid w:val="00AA51D6"/>
    <w:rsid w:val="00AA584F"/>
    <w:rsid w:val="00AB09A3"/>
    <w:rsid w:val="00AB0B21"/>
    <w:rsid w:val="00AB0BC8"/>
    <w:rsid w:val="00AB11CA"/>
    <w:rsid w:val="00AB14D9"/>
    <w:rsid w:val="00AB1616"/>
    <w:rsid w:val="00AB19AE"/>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9FB"/>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8D9"/>
    <w:rsid w:val="00B03E30"/>
    <w:rsid w:val="00B041F7"/>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80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36F"/>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0BAE"/>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476"/>
    <w:rsid w:val="00C23725"/>
    <w:rsid w:val="00C24115"/>
    <w:rsid w:val="00C24BDE"/>
    <w:rsid w:val="00C24D10"/>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2D40"/>
    <w:rsid w:val="00C431FC"/>
    <w:rsid w:val="00C45066"/>
    <w:rsid w:val="00C47623"/>
    <w:rsid w:val="00C4795B"/>
    <w:rsid w:val="00C50227"/>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74F"/>
    <w:rsid w:val="00C81EAC"/>
    <w:rsid w:val="00C8359D"/>
    <w:rsid w:val="00C83DA8"/>
    <w:rsid w:val="00C83F26"/>
    <w:rsid w:val="00C8682D"/>
    <w:rsid w:val="00C87AD0"/>
    <w:rsid w:val="00C9027A"/>
    <w:rsid w:val="00C90417"/>
    <w:rsid w:val="00C9068E"/>
    <w:rsid w:val="00C90E42"/>
    <w:rsid w:val="00C90EEB"/>
    <w:rsid w:val="00C918CB"/>
    <w:rsid w:val="00C9302A"/>
    <w:rsid w:val="00C9324F"/>
    <w:rsid w:val="00C93C4B"/>
    <w:rsid w:val="00C942F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974"/>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0E9"/>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5F3B"/>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164"/>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7D7"/>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0D3E"/>
    <w:rsid w:val="00EA243A"/>
    <w:rsid w:val="00EA2574"/>
    <w:rsid w:val="00EA2EE5"/>
    <w:rsid w:val="00EA2F5B"/>
    <w:rsid w:val="00EA3F08"/>
    <w:rsid w:val="00EA49DF"/>
    <w:rsid w:val="00EA5FF7"/>
    <w:rsid w:val="00EA632D"/>
    <w:rsid w:val="00EA6ED4"/>
    <w:rsid w:val="00EA7A41"/>
    <w:rsid w:val="00EB077B"/>
    <w:rsid w:val="00EB1112"/>
    <w:rsid w:val="00EB1D21"/>
    <w:rsid w:val="00EB399E"/>
    <w:rsid w:val="00EB44F1"/>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1D8A"/>
    <w:rsid w:val="00ED42B3"/>
    <w:rsid w:val="00ED4D1B"/>
    <w:rsid w:val="00ED5012"/>
    <w:rsid w:val="00ED51BF"/>
    <w:rsid w:val="00ED51DE"/>
    <w:rsid w:val="00ED5A72"/>
    <w:rsid w:val="00ED5BE1"/>
    <w:rsid w:val="00ED7454"/>
    <w:rsid w:val="00EE1DC9"/>
    <w:rsid w:val="00EE4874"/>
    <w:rsid w:val="00EE5DD3"/>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6890"/>
    <w:rsid w:val="00F574DC"/>
    <w:rsid w:val="00F575FD"/>
    <w:rsid w:val="00F602AB"/>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5456"/>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18B"/>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7E960014-6D02-48D9-B38A-C026BE43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26519700">
      <w:bodyDiv w:val="1"/>
      <w:marLeft w:val="0"/>
      <w:marRight w:val="0"/>
      <w:marTop w:val="0"/>
      <w:marBottom w:val="0"/>
      <w:divBdr>
        <w:top w:val="none" w:sz="0" w:space="0" w:color="auto"/>
        <w:left w:val="none" w:sz="0" w:space="0" w:color="auto"/>
        <w:bottom w:val="none" w:sz="0" w:space="0" w:color="auto"/>
        <w:right w:val="none" w:sz="0" w:space="0" w:color="auto"/>
      </w:divBdr>
    </w:div>
    <w:div w:id="409081429">
      <w:bodyDiv w:val="1"/>
      <w:marLeft w:val="0"/>
      <w:marRight w:val="0"/>
      <w:marTop w:val="0"/>
      <w:marBottom w:val="0"/>
      <w:divBdr>
        <w:top w:val="none" w:sz="0" w:space="0" w:color="auto"/>
        <w:left w:val="none" w:sz="0" w:space="0" w:color="auto"/>
        <w:bottom w:val="none" w:sz="0" w:space="0" w:color="auto"/>
        <w:right w:val="none" w:sz="0" w:space="0" w:color="auto"/>
      </w:divBdr>
    </w:div>
    <w:div w:id="414397327">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72916999">
      <w:bodyDiv w:val="1"/>
      <w:marLeft w:val="0"/>
      <w:marRight w:val="0"/>
      <w:marTop w:val="0"/>
      <w:marBottom w:val="0"/>
      <w:divBdr>
        <w:top w:val="none" w:sz="0" w:space="0" w:color="auto"/>
        <w:left w:val="none" w:sz="0" w:space="0" w:color="auto"/>
        <w:bottom w:val="none" w:sz="0" w:space="0" w:color="auto"/>
        <w:right w:val="none" w:sz="0" w:space="0" w:color="auto"/>
      </w:divBdr>
    </w:div>
    <w:div w:id="1733655336">
      <w:bodyDiv w:val="1"/>
      <w:marLeft w:val="0"/>
      <w:marRight w:val="0"/>
      <w:marTop w:val="0"/>
      <w:marBottom w:val="0"/>
      <w:divBdr>
        <w:top w:val="none" w:sz="0" w:space="0" w:color="auto"/>
        <w:left w:val="none" w:sz="0" w:space="0" w:color="auto"/>
        <w:bottom w:val="none" w:sz="0" w:space="0" w:color="auto"/>
        <w:right w:val="none" w:sz="0" w:space="0" w:color="auto"/>
      </w:divBdr>
    </w:div>
    <w:div w:id="1847397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36CD1A15-6882-4963-AAB1-4DDA5C9BA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3210</TotalTime>
  <Pages>3</Pages>
  <Words>985</Words>
  <Characters>5621</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6593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cp:lastModifiedBy>
  <cp:revision>8</cp:revision>
  <cp:lastPrinted>2008-01-31T16:09:00Z</cp:lastPrinted>
  <dcterms:created xsi:type="dcterms:W3CDTF">2020-09-23T10:20:00Z</dcterms:created>
  <dcterms:modified xsi:type="dcterms:W3CDTF">2021-01-12T04:56:00Z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